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506E" w:rsidR="002A43D1" w:rsidP="30C96646" w:rsidRDefault="002A43D1" w14:paraId="2FD5F652" w14:textId="77777777" w14:noSpellErr="1">
      <w:pPr>
        <w:jc w:val="center"/>
        <w:rPr>
          <w:b w:val="1"/>
          <w:bCs w:val="1"/>
          <w:sz w:val="20"/>
          <w:szCs w:val="20"/>
        </w:rPr>
      </w:pPr>
      <w:r w:rsidRPr="30C96646" w:rsidR="002A43D1">
        <w:rPr>
          <w:b w:val="1"/>
          <w:bCs w:val="1"/>
          <w:sz w:val="20"/>
          <w:szCs w:val="20"/>
        </w:rPr>
        <w:t>Royal Birthday Bash Offer</w:t>
      </w:r>
    </w:p>
    <w:p w:rsidR="1619D7A6" w:rsidP="30C96646" w:rsidRDefault="1619D7A6" w14:paraId="11A7755A" w14:textId="5AF3D476">
      <w:pPr>
        <w:jc w:val="center"/>
        <w:rPr>
          <w:b w:val="1"/>
          <w:bCs w:val="1"/>
          <w:sz w:val="20"/>
          <w:szCs w:val="20"/>
        </w:rPr>
      </w:pPr>
      <w:r w:rsidRPr="30C96646" w:rsidR="1619D7A6">
        <w:rPr>
          <w:b w:val="1"/>
          <w:bCs w:val="1"/>
          <w:sz w:val="20"/>
          <w:szCs w:val="20"/>
        </w:rPr>
        <w:t>Terms and Conditions</w:t>
      </w:r>
    </w:p>
    <w:p w:rsidR="30C96646" w:rsidP="30C96646" w:rsidRDefault="30C96646" w14:paraId="7BBAB753" w14:textId="71B186F8">
      <w:pPr>
        <w:jc w:val="center"/>
        <w:rPr>
          <w:b w:val="1"/>
          <w:bCs w:val="1"/>
          <w:sz w:val="20"/>
          <w:szCs w:val="20"/>
        </w:rPr>
      </w:pPr>
    </w:p>
    <w:p w:rsidR="1619D7A6" w:rsidP="30C96646" w:rsidRDefault="1619D7A6" w14:paraId="4C192BC0" w14:textId="0E1D9B67">
      <w:pPr>
        <w:jc w:val="left"/>
        <w:rPr>
          <w:b w:val="1"/>
          <w:bCs w:val="1"/>
          <w:sz w:val="20"/>
          <w:szCs w:val="20"/>
          <w:u w:val="single"/>
        </w:rPr>
      </w:pPr>
      <w:r w:rsidRPr="30C96646" w:rsidR="1619D7A6">
        <w:rPr>
          <w:b w:val="1"/>
          <w:bCs w:val="1"/>
          <w:sz w:val="20"/>
          <w:szCs w:val="20"/>
          <w:u w:val="single"/>
        </w:rPr>
        <w:t>Royal Birthday Bash Offer</w:t>
      </w:r>
    </w:p>
    <w:p w:rsidRPr="00F8506E" w:rsidR="002A43D1" w:rsidP="002A43D1" w:rsidRDefault="002A43D1" w14:paraId="3E5776B0" w14:textId="77777777">
      <w:pPr>
        <w:rPr>
          <w:sz w:val="20"/>
          <w:szCs w:val="20"/>
        </w:rPr>
      </w:pPr>
      <w:r w:rsidRPr="00F8506E">
        <w:rPr>
          <w:b/>
          <w:bCs/>
          <w:sz w:val="20"/>
          <w:szCs w:val="20"/>
        </w:rPr>
        <w:t>Booking Window</w:t>
      </w:r>
      <w:r w:rsidRPr="00F8506E">
        <w:rPr>
          <w:sz w:val="20"/>
          <w:szCs w:val="20"/>
        </w:rPr>
        <w:t>: May 8, 2025- June 5, 2025</w:t>
      </w:r>
    </w:p>
    <w:p w:rsidRPr="00F8506E" w:rsidR="002A43D1" w:rsidP="002A43D1" w:rsidRDefault="002A43D1" w14:paraId="3C71220B" w14:textId="77777777">
      <w:pPr>
        <w:rPr>
          <w:sz w:val="20"/>
          <w:szCs w:val="20"/>
        </w:rPr>
      </w:pPr>
      <w:r w:rsidRPr="00F8506E">
        <w:rPr>
          <w:b/>
          <w:bCs/>
          <w:sz w:val="20"/>
          <w:szCs w:val="20"/>
        </w:rPr>
        <w:t>Sailing Window</w:t>
      </w:r>
      <w:r w:rsidRPr="00F8506E">
        <w:rPr>
          <w:sz w:val="20"/>
          <w:szCs w:val="20"/>
        </w:rPr>
        <w:t>: Select sailings departing between August 30, 2025 - October 31, 2025</w:t>
      </w:r>
    </w:p>
    <w:p w:rsidRPr="00F8506E" w:rsidR="002A43D1" w:rsidP="002A43D1" w:rsidRDefault="002A43D1" w14:paraId="5B33CD3F" w14:textId="3A9E4E5C">
      <w:pPr>
        <w:rPr>
          <w:sz w:val="20"/>
          <w:szCs w:val="20"/>
        </w:rPr>
      </w:pPr>
      <w:r w:rsidRPr="00F8506E">
        <w:rPr>
          <w:b/>
          <w:bCs/>
          <w:sz w:val="20"/>
          <w:szCs w:val="20"/>
        </w:rPr>
        <w:t>Offer Details</w:t>
      </w:r>
      <w:r w:rsidRPr="00F8506E">
        <w:rPr>
          <w:sz w:val="20"/>
          <w:szCs w:val="20"/>
        </w:rPr>
        <w:t>: Free cruise fare for third and fourth guests and up to $200 total Birthday Cash to spend at sea per Room via onboard credit “OBC.”</w:t>
      </w:r>
    </w:p>
    <w:p w:rsidRPr="00F8506E" w:rsidR="002A43D1" w:rsidP="002A43D1" w:rsidRDefault="002A43D1" w14:paraId="0127A1E2" w14:textId="57F2793E">
      <w:pPr>
        <w:rPr>
          <w:b/>
          <w:bCs/>
          <w:sz w:val="20"/>
          <w:szCs w:val="20"/>
        </w:rPr>
      </w:pPr>
      <w:r w:rsidRPr="00F8506E">
        <w:rPr>
          <w:b/>
          <w:bCs/>
          <w:sz w:val="20"/>
          <w:szCs w:val="20"/>
        </w:rPr>
        <w:t xml:space="preserve">Promo Code: </w:t>
      </w:r>
      <w:r w:rsidRPr="00F8506E">
        <w:rPr>
          <w:sz w:val="20"/>
          <w:szCs w:val="20"/>
        </w:rPr>
        <w:t>BDAYBASH</w:t>
      </w:r>
    </w:p>
    <w:tbl>
      <w:tblPr>
        <w:tblpPr w:leftFromText="180" w:rightFromText="180" w:vertAnchor="text" w:horzAnchor="margin" w:tblpY="210"/>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20"/>
        <w:gridCol w:w="2025"/>
      </w:tblGrid>
      <w:tr w:rsidRPr="00F8506E" w:rsidR="002A43D1" w:rsidTr="002A43D1" w14:paraId="3293FA7C" w14:textId="77777777">
        <w:trPr>
          <w:trHeight w:val="300"/>
        </w:trPr>
        <w:tc>
          <w:tcPr>
            <w:tcW w:w="1620" w:type="dxa"/>
            <w:tcBorders>
              <w:top w:val="single" w:color="auto" w:sz="18" w:space="0"/>
              <w:left w:val="single" w:color="auto" w:sz="18" w:space="0"/>
              <w:bottom w:val="single" w:color="auto" w:sz="8" w:space="0"/>
              <w:right w:val="single" w:color="auto" w:sz="8" w:space="0"/>
            </w:tcBorders>
            <w:shd w:val="clear" w:color="auto" w:fill="002060"/>
            <w:vAlign w:val="center"/>
          </w:tcPr>
          <w:p w:rsidRPr="00F8506E" w:rsidR="002A43D1" w:rsidP="002A43D1" w:rsidRDefault="002A43D1" w14:paraId="7F34F23B" w14:textId="77777777">
            <w:pPr>
              <w:spacing w:after="0"/>
              <w:jc w:val="center"/>
              <w:rPr>
                <w:sz w:val="20"/>
                <w:szCs w:val="20"/>
              </w:rPr>
            </w:pPr>
            <w:r w:rsidRPr="00F8506E">
              <w:rPr>
                <w:rFonts w:ascii="Calibri Light" w:hAnsi="Calibri Light" w:eastAsia="Calibri Light" w:cs="Calibri Light"/>
                <w:b/>
                <w:bCs/>
                <w:color w:val="FFFFFF" w:themeColor="background1"/>
                <w:sz w:val="20"/>
                <w:szCs w:val="20"/>
                <w:lang w:val="en"/>
              </w:rPr>
              <w:t>Sailing Length</w:t>
            </w:r>
          </w:p>
        </w:tc>
        <w:tc>
          <w:tcPr>
            <w:tcW w:w="2025" w:type="dxa"/>
            <w:tcBorders>
              <w:top w:val="single" w:color="auto" w:sz="18" w:space="0"/>
              <w:left w:val="single" w:color="auto" w:sz="8" w:space="0"/>
              <w:bottom w:val="single" w:color="auto" w:sz="8" w:space="0"/>
              <w:right w:val="single" w:color="auto" w:sz="8" w:space="0"/>
            </w:tcBorders>
            <w:shd w:val="clear" w:color="auto" w:fill="002060"/>
            <w:vAlign w:val="center"/>
          </w:tcPr>
          <w:p w:rsidRPr="00F8506E" w:rsidR="002A43D1" w:rsidP="002A43D1" w:rsidRDefault="002A43D1" w14:paraId="2D3DAFF4" w14:textId="77777777">
            <w:pPr>
              <w:spacing w:after="0"/>
              <w:jc w:val="center"/>
              <w:rPr>
                <w:sz w:val="20"/>
                <w:szCs w:val="20"/>
              </w:rPr>
            </w:pPr>
            <w:r w:rsidRPr="00F8506E">
              <w:rPr>
                <w:sz w:val="20"/>
                <w:szCs w:val="20"/>
              </w:rPr>
              <w:t>OBC</w:t>
            </w:r>
          </w:p>
        </w:tc>
      </w:tr>
      <w:tr w:rsidRPr="00F8506E" w:rsidR="002A43D1" w:rsidTr="002A43D1" w14:paraId="1D8DBEF8" w14:textId="77777777">
        <w:trPr>
          <w:trHeight w:val="367"/>
        </w:trPr>
        <w:tc>
          <w:tcPr>
            <w:tcW w:w="1620" w:type="dxa"/>
            <w:tcBorders>
              <w:top w:val="single" w:color="auto" w:sz="8" w:space="0"/>
              <w:left w:val="single" w:color="auto" w:sz="18" w:space="0"/>
              <w:bottom w:val="single" w:color="auto" w:sz="8" w:space="0"/>
              <w:right w:val="single" w:color="auto" w:sz="8" w:space="0"/>
            </w:tcBorders>
            <w:vAlign w:val="center"/>
          </w:tcPr>
          <w:p w:rsidRPr="00F8506E" w:rsidR="002A43D1" w:rsidP="002A43D1" w:rsidRDefault="002A43D1" w14:paraId="71FD2E87" w14:textId="77777777">
            <w:pPr>
              <w:spacing w:after="0"/>
              <w:jc w:val="center"/>
              <w:rPr>
                <w:sz w:val="20"/>
                <w:szCs w:val="20"/>
              </w:rPr>
            </w:pPr>
            <w:r w:rsidRPr="00F8506E">
              <w:rPr>
                <w:rFonts w:ascii="Calibri Light" w:hAnsi="Calibri Light" w:eastAsia="Calibri Light" w:cs="Calibri Light"/>
                <w:sz w:val="20"/>
                <w:szCs w:val="20"/>
                <w:lang w:val="en"/>
              </w:rPr>
              <w:t>5N and less</w:t>
            </w:r>
          </w:p>
        </w:tc>
        <w:tc>
          <w:tcPr>
            <w:tcW w:w="2025" w:type="dxa"/>
            <w:tcBorders>
              <w:top w:val="single" w:color="auto" w:sz="8" w:space="0"/>
              <w:left w:val="single" w:color="auto" w:sz="8" w:space="0"/>
              <w:bottom w:val="single" w:color="auto" w:sz="8" w:space="0"/>
              <w:right w:val="single" w:color="auto" w:sz="8" w:space="0"/>
            </w:tcBorders>
            <w:vAlign w:val="center"/>
          </w:tcPr>
          <w:p w:rsidRPr="00F8506E" w:rsidR="002A43D1" w:rsidP="002A43D1" w:rsidRDefault="002A43D1" w14:paraId="18EED5D3" w14:textId="77777777">
            <w:pPr>
              <w:spacing w:after="0"/>
              <w:jc w:val="center"/>
              <w:rPr>
                <w:sz w:val="20"/>
                <w:szCs w:val="20"/>
              </w:rPr>
            </w:pPr>
            <w:r w:rsidRPr="00F8506E">
              <w:rPr>
                <w:rFonts w:ascii="Calibri Light" w:hAnsi="Calibri Light" w:eastAsia="Calibri Light" w:cs="Calibri Light"/>
                <w:sz w:val="20"/>
                <w:szCs w:val="20"/>
                <w:lang w:val="en"/>
              </w:rPr>
              <w:t>$100</w:t>
            </w:r>
          </w:p>
        </w:tc>
      </w:tr>
      <w:tr w:rsidRPr="00F8506E" w:rsidR="002A43D1" w:rsidTr="002A43D1" w14:paraId="57300348" w14:textId="77777777">
        <w:trPr>
          <w:trHeight w:val="300"/>
        </w:trPr>
        <w:tc>
          <w:tcPr>
            <w:tcW w:w="1620" w:type="dxa"/>
            <w:tcBorders>
              <w:top w:val="single" w:color="auto" w:sz="8" w:space="0"/>
              <w:left w:val="single" w:color="auto" w:sz="18" w:space="0"/>
              <w:bottom w:val="single" w:color="auto" w:sz="18" w:space="0"/>
              <w:right w:val="single" w:color="auto" w:sz="8" w:space="0"/>
            </w:tcBorders>
            <w:vAlign w:val="center"/>
          </w:tcPr>
          <w:p w:rsidRPr="00F8506E" w:rsidR="002A43D1" w:rsidP="002A43D1" w:rsidRDefault="002A43D1" w14:paraId="61E3F63A" w14:textId="77777777">
            <w:pPr>
              <w:spacing w:after="0"/>
              <w:jc w:val="center"/>
              <w:rPr>
                <w:sz w:val="20"/>
                <w:szCs w:val="20"/>
              </w:rPr>
            </w:pPr>
            <w:r w:rsidRPr="00F8506E">
              <w:rPr>
                <w:rFonts w:ascii="Calibri Light" w:hAnsi="Calibri Light" w:eastAsia="Calibri Light" w:cs="Calibri Light"/>
                <w:sz w:val="20"/>
                <w:szCs w:val="20"/>
                <w:lang w:val="en"/>
              </w:rPr>
              <w:t xml:space="preserve">  6N and more</w:t>
            </w:r>
          </w:p>
        </w:tc>
        <w:tc>
          <w:tcPr>
            <w:tcW w:w="2025" w:type="dxa"/>
            <w:tcBorders>
              <w:top w:val="single" w:color="auto" w:sz="8" w:space="0"/>
              <w:left w:val="single" w:color="auto" w:sz="8" w:space="0"/>
              <w:bottom w:val="single" w:color="auto" w:sz="18" w:space="0"/>
              <w:right w:val="single" w:color="auto" w:sz="8" w:space="0"/>
            </w:tcBorders>
            <w:vAlign w:val="center"/>
          </w:tcPr>
          <w:p w:rsidRPr="00F8506E" w:rsidR="002A43D1" w:rsidP="002A43D1" w:rsidRDefault="002A43D1" w14:paraId="0169E983" w14:textId="77777777">
            <w:pPr>
              <w:spacing w:after="0"/>
              <w:jc w:val="center"/>
              <w:rPr>
                <w:sz w:val="20"/>
                <w:szCs w:val="20"/>
              </w:rPr>
            </w:pPr>
            <w:r w:rsidRPr="00F8506E">
              <w:rPr>
                <w:rFonts w:ascii="Calibri Light" w:hAnsi="Calibri Light" w:eastAsia="Calibri Light" w:cs="Calibri Light"/>
                <w:sz w:val="20"/>
                <w:szCs w:val="20"/>
                <w:lang w:val="en"/>
              </w:rPr>
              <w:t>$200</w:t>
            </w:r>
          </w:p>
        </w:tc>
      </w:tr>
    </w:tbl>
    <w:p w:rsidR="0039324E" w:rsidP="19765FDD" w:rsidRDefault="0039324E" w14:paraId="1E21D840" w14:textId="39541E8C">
      <w:pPr>
        <w:rPr>
          <w:sz w:val="20"/>
          <w:szCs w:val="20"/>
        </w:rPr>
      </w:pPr>
    </w:p>
    <w:p w:rsidRPr="00F8506E" w:rsidR="002A43D1" w:rsidP="002A43D1" w:rsidRDefault="00F8506E" w14:paraId="0FD21645" w14:textId="128DCC11">
      <w:pPr>
        <w:rPr>
          <w:sz w:val="20"/>
          <w:szCs w:val="20"/>
        </w:rPr>
      </w:pPr>
      <w:r w:rsidRPr="00F8506E">
        <w:rPr>
          <w:sz w:val="20"/>
          <w:szCs w:val="20"/>
        </w:rPr>
        <w:t xml:space="preserve">The </w:t>
      </w:r>
      <w:r w:rsidRPr="00F8506E" w:rsidR="002A43D1">
        <w:rPr>
          <w:sz w:val="20"/>
          <w:szCs w:val="20"/>
        </w:rPr>
        <w:t xml:space="preserve">Royal Birthday Bash Offer applies to new, individual, and named group bookings at prevailing rates made May 8, 2025 - June 5, 2025, on select sailings departing August 30, 2025 - October 31, 2025, and provides $0 cruise fare for </w:t>
      </w:r>
      <w:r w:rsidRPr="00457A7E" w:rsidR="002A43D1">
        <w:rPr>
          <w:sz w:val="20"/>
          <w:szCs w:val="20"/>
        </w:rPr>
        <w:t xml:space="preserve">the third and fourth guests booked in the same stateroom as the first and second full fare paying guests (minus any applicable, combinable offers). </w:t>
      </w:r>
      <w:r w:rsidRPr="00F8506E" w:rsidR="002A43D1">
        <w:rPr>
          <w:sz w:val="20"/>
          <w:szCs w:val="20"/>
        </w:rPr>
        <w:t xml:space="preserve"> Taxes, fees, and port expenses are additional and apply to all guests.</w:t>
      </w:r>
      <w:r w:rsidRPr="00F8506E">
        <w:rPr>
          <w:rFonts w:ascii="Calibri" w:hAnsi="Calibri" w:eastAsia="Calibri" w:cs="Calibri"/>
          <w:sz w:val="20"/>
          <w:szCs w:val="20"/>
          <w:lang w:val="en"/>
        </w:rPr>
        <w:t xml:space="preserve"> </w:t>
      </w:r>
      <w:r w:rsidRPr="00BF5479">
        <w:rPr>
          <w:sz w:val="20"/>
          <w:szCs w:val="20"/>
          <w:lang w:val="en"/>
        </w:rPr>
        <w:t>OBC will be applied per stateroom varying by sailing length as follows: $100 OBC for sailings 5 nights or less</w:t>
      </w:r>
      <w:r w:rsidRPr="00BF5479">
        <w:rPr>
          <w:sz w:val="20"/>
          <w:szCs w:val="20"/>
        </w:rPr>
        <w:t xml:space="preserve"> with guest 1 and guest 2 each receiving $50</w:t>
      </w:r>
      <w:r w:rsidRPr="00BF5479">
        <w:rPr>
          <w:sz w:val="20"/>
          <w:szCs w:val="20"/>
          <w:lang w:val="en"/>
        </w:rPr>
        <w:t>; 6 nights or longer, $200 OBC with guest 1 and guest 2 each receiving $100.</w:t>
      </w:r>
      <w:r w:rsidRPr="00F8506E">
        <w:rPr>
          <w:sz w:val="20"/>
          <w:szCs w:val="20"/>
        </w:rPr>
        <w:t xml:space="preserve"> </w:t>
      </w:r>
      <w:r w:rsidRPr="00F8506E" w:rsidR="002A43D1">
        <w:rPr>
          <w:sz w:val="20"/>
          <w:szCs w:val="20"/>
        </w:rPr>
        <w:t xml:space="preserve">Offer excludes </w:t>
      </w:r>
      <w:r w:rsidRPr="00F8506E">
        <w:rPr>
          <w:sz w:val="20"/>
          <w:szCs w:val="20"/>
        </w:rPr>
        <w:t>sailings</w:t>
      </w:r>
      <w:r w:rsidRPr="00F8506E" w:rsidR="002A43D1">
        <w:rPr>
          <w:sz w:val="20"/>
          <w:szCs w:val="20"/>
        </w:rPr>
        <w:t xml:space="preserve"> departing from Boston, Seward, and Seattle in the sail date period.</w:t>
      </w:r>
    </w:p>
    <w:p w:rsidRPr="00F8506E" w:rsidR="002A43D1" w:rsidP="002A43D1" w:rsidRDefault="002A43D1" w14:paraId="09AD0ACB" w14:textId="77777777">
      <w:pPr>
        <w:rPr>
          <w:sz w:val="20"/>
          <w:szCs w:val="20"/>
        </w:rPr>
      </w:pPr>
      <w:r w:rsidRPr="00EB6100">
        <w:rPr>
          <w:b/>
          <w:bCs/>
          <w:sz w:val="20"/>
          <w:szCs w:val="20"/>
        </w:rPr>
        <w:t>Combinability</w:t>
      </w:r>
      <w:r w:rsidRPr="00F8506E">
        <w:rPr>
          <w:sz w:val="20"/>
          <w:szCs w:val="20"/>
        </w:rPr>
        <w:t>: Royal Birthday Bash Offer is combinable with BOGO60, Kids Sail Free, promotional OBCs, Next Cruise offers, instant savings, restricted discounts (for example, Seniors, Residents, Military), Promo Code driven offers, Crown and Anchor discounts and Shareholder Benefits. Royal Birthday Bash Offer is not combinable with any other offer or promotion, including but not limited to Standard Group, Interline, Travel Agent, Travel Agent Friends and Family, Weekly Sales Events and Net rates.</w:t>
      </w:r>
    </w:p>
    <w:p w:rsidRPr="00F8506E" w:rsidR="000C4EA0" w:rsidP="002A43D1" w:rsidRDefault="002A43D1" w14:paraId="42CB399D" w14:textId="5426E12D">
      <w:pPr>
        <w:rPr>
          <w:sz w:val="20"/>
          <w:szCs w:val="20"/>
        </w:rPr>
      </w:pPr>
      <w:r w:rsidRPr="00EB6100">
        <w:rPr>
          <w:b/>
          <w:bCs/>
          <w:sz w:val="20"/>
          <w:szCs w:val="20"/>
        </w:rPr>
        <w:t>General Terms</w:t>
      </w:r>
      <w:r w:rsidRPr="00454DA0" w:rsidR="00454DA0">
        <w:rPr>
          <w:sz w:val="20"/>
          <w:szCs w:val="20"/>
        </w:rPr>
        <w:t xml:space="preserve">: </w:t>
      </w:r>
      <w:r w:rsidRPr="00F8506E">
        <w:rPr>
          <w:sz w:val="20"/>
          <w:szCs w:val="20"/>
        </w:rPr>
        <w:t>Royal Birthday Bash Offer will be automatically applied to eligible bookings at checkout. OBC has no cash value, is applicable to cruise only, non-transferable, not redeemable for cash, and will expire if not used by 10:00 PM on the final night of the cruise. All other charges, including taxes, fees, and port expenses, where not included in the displayed price are additional and apply to all guests. Changes to the booking may result in the removal of the offer. Individual reservations may be transferred into an existing group, assuming required criteria are met; full deposit will be required at time of transfer. Failure to apply the required full deposit amount may result in the cancellation of the booking. Single occupancy guests paying 200% cruise fare are eligible for full offer; single occupancy guests paying less than 200% cruise fare are eligible for a prorated amount of the offer, to be displayed at the time of checkout. The Royal Birthday Bash Offer is available to residents of United States, Canada, Puerto Rico, and select countries. Prices and offers are subject to availability and change without notice, capacity controlled, and may be withdrawn at any time. Refer to www.RoyalCaribbean.com for additional terms and conditions. Royal Caribbean International reserves the right to correct any errors, inaccuracies, or omissions and to change or update fares, fees, and surcharges at any time without prior notice. ©2025 Royal Caribbean Cruises Ltd. Ships’ registry: Bahamas.</w:t>
      </w:r>
    </w:p>
    <w:p w:rsidR="000C4EA0" w:rsidRDefault="000C4EA0" w14:paraId="6B71C9CB" w14:textId="42BFE46C"/>
    <w:sectPr w:rsidR="000C4E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A0"/>
    <w:rsid w:val="000C4EA0"/>
    <w:rsid w:val="00156DAA"/>
    <w:rsid w:val="0027081B"/>
    <w:rsid w:val="002A43D1"/>
    <w:rsid w:val="00302281"/>
    <w:rsid w:val="00361890"/>
    <w:rsid w:val="003867AE"/>
    <w:rsid w:val="0039324E"/>
    <w:rsid w:val="00454DA0"/>
    <w:rsid w:val="00457A7E"/>
    <w:rsid w:val="00491BEF"/>
    <w:rsid w:val="00566A79"/>
    <w:rsid w:val="005933F4"/>
    <w:rsid w:val="00865B3F"/>
    <w:rsid w:val="00940988"/>
    <w:rsid w:val="00A507BB"/>
    <w:rsid w:val="00A73E55"/>
    <w:rsid w:val="00B10995"/>
    <w:rsid w:val="00BA088D"/>
    <w:rsid w:val="00BE3D22"/>
    <w:rsid w:val="00BF4C89"/>
    <w:rsid w:val="00BF5479"/>
    <w:rsid w:val="00C24685"/>
    <w:rsid w:val="00C24FF3"/>
    <w:rsid w:val="00C92859"/>
    <w:rsid w:val="00D001B3"/>
    <w:rsid w:val="00DB14C3"/>
    <w:rsid w:val="00EA6B90"/>
    <w:rsid w:val="00EB6100"/>
    <w:rsid w:val="00F8506E"/>
    <w:rsid w:val="1619D7A6"/>
    <w:rsid w:val="19765FDD"/>
    <w:rsid w:val="30C96646"/>
    <w:rsid w:val="448FA3D3"/>
    <w:rsid w:val="656D8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DB08"/>
  <w15:chartTrackingRefBased/>
  <w15:docId w15:val="{50DC868F-1E27-4BCC-8D03-8B428184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4EA0"/>
  </w:style>
  <w:style w:type="paragraph" w:styleId="Heading1">
    <w:name w:val="heading 1"/>
    <w:basedOn w:val="Normal"/>
    <w:next w:val="Normal"/>
    <w:link w:val="Heading1Char"/>
    <w:uiPriority w:val="9"/>
    <w:qFormat/>
    <w:rsid w:val="000C4EA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EA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EA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4EA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C4EA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C4EA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C4EA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C4EA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C4EA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C4EA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C4EA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C4EA0"/>
    <w:rPr>
      <w:rFonts w:eastAsiaTheme="majorEastAsia" w:cstheme="majorBidi"/>
      <w:color w:val="272727" w:themeColor="text1" w:themeTint="D8"/>
    </w:rPr>
  </w:style>
  <w:style w:type="paragraph" w:styleId="Title">
    <w:name w:val="Title"/>
    <w:basedOn w:val="Normal"/>
    <w:next w:val="Normal"/>
    <w:link w:val="TitleChar"/>
    <w:uiPriority w:val="10"/>
    <w:qFormat/>
    <w:rsid w:val="000C4EA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4EA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C4EA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C4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EA0"/>
    <w:pPr>
      <w:spacing w:before="160"/>
      <w:jc w:val="center"/>
    </w:pPr>
    <w:rPr>
      <w:i/>
      <w:iCs/>
      <w:color w:val="404040" w:themeColor="text1" w:themeTint="BF"/>
    </w:rPr>
  </w:style>
  <w:style w:type="character" w:styleId="QuoteChar" w:customStyle="1">
    <w:name w:val="Quote Char"/>
    <w:basedOn w:val="DefaultParagraphFont"/>
    <w:link w:val="Quote"/>
    <w:uiPriority w:val="29"/>
    <w:rsid w:val="000C4EA0"/>
    <w:rPr>
      <w:i/>
      <w:iCs/>
      <w:color w:val="404040" w:themeColor="text1" w:themeTint="BF"/>
    </w:rPr>
  </w:style>
  <w:style w:type="paragraph" w:styleId="ListParagraph">
    <w:name w:val="List Paragraph"/>
    <w:basedOn w:val="Normal"/>
    <w:uiPriority w:val="34"/>
    <w:qFormat/>
    <w:rsid w:val="000C4EA0"/>
    <w:pPr>
      <w:ind w:left="720"/>
      <w:contextualSpacing/>
    </w:pPr>
  </w:style>
  <w:style w:type="character" w:styleId="IntenseEmphasis">
    <w:name w:val="Intense Emphasis"/>
    <w:basedOn w:val="DefaultParagraphFont"/>
    <w:uiPriority w:val="21"/>
    <w:qFormat/>
    <w:rsid w:val="000C4EA0"/>
    <w:rPr>
      <w:i/>
      <w:iCs/>
      <w:color w:val="0F4761" w:themeColor="accent1" w:themeShade="BF"/>
    </w:rPr>
  </w:style>
  <w:style w:type="paragraph" w:styleId="IntenseQuote">
    <w:name w:val="Intense Quote"/>
    <w:basedOn w:val="Normal"/>
    <w:next w:val="Normal"/>
    <w:link w:val="IntenseQuoteChar"/>
    <w:uiPriority w:val="30"/>
    <w:qFormat/>
    <w:rsid w:val="000C4EA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C4EA0"/>
    <w:rPr>
      <w:i/>
      <w:iCs/>
      <w:color w:val="0F4761" w:themeColor="accent1" w:themeShade="BF"/>
    </w:rPr>
  </w:style>
  <w:style w:type="character" w:styleId="IntenseReference">
    <w:name w:val="Intense Reference"/>
    <w:basedOn w:val="DefaultParagraphFont"/>
    <w:uiPriority w:val="32"/>
    <w:qFormat/>
    <w:rsid w:val="000C4E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5C774086E27F4387121719FDD97A07" ma:contentTypeVersion="10" ma:contentTypeDescription="Create a new document." ma:contentTypeScope="" ma:versionID="08703cf6778a17cfde8ccb7d8872828e">
  <xsd:schema xmlns:xsd="http://www.w3.org/2001/XMLSchema" xmlns:xs="http://www.w3.org/2001/XMLSchema" xmlns:p="http://schemas.microsoft.com/office/2006/metadata/properties" xmlns:ns2="e6d219c3-57d9-47b0-bddd-a6c01a56cd69" xmlns:ns3="1039fffe-474d-4421-9dc9-c81e48c76435" targetNamespace="http://schemas.microsoft.com/office/2006/metadata/properties" ma:root="true" ma:fieldsID="1890c7ad84d80c1d892c47e54da669a1" ns2:_="" ns3:_="">
    <xsd:import namespace="e6d219c3-57d9-47b0-bddd-a6c01a56cd69"/>
    <xsd:import namespace="1039fffe-474d-4421-9dc9-c81e48c764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219c3-57d9-47b0-bddd-a6c01a56cd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9fffe-474d-4421-9dc9-c81e48c7643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8DD30-A1BE-43B9-8D0B-DF5A931F2B42}">
  <ds:schemaRefs>
    <ds:schemaRef ds:uri="http://schemas.microsoft.com/office/2006/metadata/properties"/>
    <ds:schemaRef ds:uri="http://schemas.microsoft.com/office/infopath/2007/PartnerControls"/>
    <ds:schemaRef ds:uri="0de3e2ea-b77f-4869-9696-4b9eefb3d91e"/>
    <ds:schemaRef ds:uri="6ad94ccd-d3fb-49a6-8387-d8060f43181a"/>
  </ds:schemaRefs>
</ds:datastoreItem>
</file>

<file path=customXml/itemProps2.xml><?xml version="1.0" encoding="utf-8"?>
<ds:datastoreItem xmlns:ds="http://schemas.openxmlformats.org/officeDocument/2006/customXml" ds:itemID="{0107A144-DCC1-4100-842B-5959921C7E6D}"/>
</file>

<file path=customXml/itemProps3.xml><?xml version="1.0" encoding="utf-8"?>
<ds:datastoreItem xmlns:ds="http://schemas.openxmlformats.org/officeDocument/2006/customXml" ds:itemID="{A83F5916-D790-45D3-A849-BEBD566B00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Salazar</dc:creator>
  <keywords/>
  <dc:description/>
  <lastModifiedBy>Rodrigo Vilchez</lastModifiedBy>
  <revision>3</revision>
  <dcterms:created xsi:type="dcterms:W3CDTF">2025-05-02T17:06:00.0000000Z</dcterms:created>
  <dcterms:modified xsi:type="dcterms:W3CDTF">2025-05-02T17:09:34.1018987Z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fa631-0d69-435b-8f58-124ad5e1685b_Enabled">
    <vt:lpwstr>true</vt:lpwstr>
  </property>
  <property fmtid="{D5CDD505-2E9C-101B-9397-08002B2CF9AE}" pid="3" name="MSIP_Label_ec2fa631-0d69-435b-8f58-124ad5e1685b_SetDate">
    <vt:lpwstr>2025-05-01T21:10:58Z</vt:lpwstr>
  </property>
  <property fmtid="{D5CDD505-2E9C-101B-9397-08002B2CF9AE}" pid="4" name="MSIP_Label_ec2fa631-0d69-435b-8f58-124ad5e1685b_Method">
    <vt:lpwstr>Standard</vt:lpwstr>
  </property>
  <property fmtid="{D5CDD505-2E9C-101B-9397-08002B2CF9AE}" pid="5" name="MSIP_Label_ec2fa631-0d69-435b-8f58-124ad5e1685b_Name">
    <vt:lpwstr>Internal (Default))</vt:lpwstr>
  </property>
  <property fmtid="{D5CDD505-2E9C-101B-9397-08002B2CF9AE}" pid="6" name="MSIP_Label_ec2fa631-0d69-435b-8f58-124ad5e1685b_SiteId">
    <vt:lpwstr>1caa43b8-bf09-48b6-9b3c-bd5a56fec019</vt:lpwstr>
  </property>
  <property fmtid="{D5CDD505-2E9C-101B-9397-08002B2CF9AE}" pid="7" name="MSIP_Label_ec2fa631-0d69-435b-8f58-124ad5e1685b_ActionId">
    <vt:lpwstr>977727ee-9a9e-4669-8236-8604def8d233</vt:lpwstr>
  </property>
  <property fmtid="{D5CDD505-2E9C-101B-9397-08002B2CF9AE}" pid="8" name="MSIP_Label_ec2fa631-0d69-435b-8f58-124ad5e1685b_ContentBits">
    <vt:lpwstr>0</vt:lpwstr>
  </property>
  <property fmtid="{D5CDD505-2E9C-101B-9397-08002B2CF9AE}" pid="9" name="MSIP_Label_ec2fa631-0d69-435b-8f58-124ad5e1685b_Tag">
    <vt:lpwstr>10, 3, 0, 1</vt:lpwstr>
  </property>
  <property fmtid="{D5CDD505-2E9C-101B-9397-08002B2CF9AE}" pid="10" name="ContentTypeId">
    <vt:lpwstr>0x0101001C5C774086E27F4387121719FDD97A07</vt:lpwstr>
  </property>
  <property fmtid="{D5CDD505-2E9C-101B-9397-08002B2CF9AE}" pid="11" name="MediaServiceImageTags">
    <vt:lpwstr/>
  </property>
</Properties>
</file>